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9E98" w14:textId="07E6C467" w:rsidR="003D1E7E" w:rsidRDefault="00470663">
      <w:pPr>
        <w:rPr>
          <w:b/>
          <w:bCs/>
          <w:sz w:val="28"/>
          <w:szCs w:val="28"/>
        </w:rPr>
      </w:pPr>
      <w:r w:rsidRPr="00701287">
        <w:rPr>
          <w:b/>
          <w:bCs/>
          <w:sz w:val="28"/>
          <w:szCs w:val="28"/>
        </w:rPr>
        <w:t xml:space="preserve">SDH </w:t>
      </w:r>
      <w:r w:rsidR="00544BEE">
        <w:rPr>
          <w:b/>
          <w:bCs/>
          <w:sz w:val="28"/>
          <w:szCs w:val="28"/>
        </w:rPr>
        <w:t>Octo</w:t>
      </w:r>
      <w:r w:rsidRPr="00701287">
        <w:rPr>
          <w:b/>
          <w:bCs/>
          <w:sz w:val="28"/>
          <w:szCs w:val="28"/>
        </w:rPr>
        <w:t>ber growth rate and pasture quality summary</w:t>
      </w:r>
      <w:r w:rsidR="00701287">
        <w:rPr>
          <w:b/>
          <w:bCs/>
          <w:sz w:val="28"/>
          <w:szCs w:val="28"/>
        </w:rPr>
        <w:t xml:space="preserve"> (to </w:t>
      </w:r>
      <w:r w:rsidR="00CD4C76">
        <w:rPr>
          <w:b/>
          <w:bCs/>
          <w:sz w:val="28"/>
          <w:szCs w:val="28"/>
        </w:rPr>
        <w:t>28 December 2023</w:t>
      </w:r>
      <w:r w:rsidR="00701287">
        <w:rPr>
          <w:b/>
          <w:bCs/>
          <w:sz w:val="28"/>
          <w:szCs w:val="28"/>
        </w:rPr>
        <w:t>)</w:t>
      </w:r>
    </w:p>
    <w:p w14:paraId="075E1E32" w14:textId="5C7ECCD3" w:rsidR="005A4B7C" w:rsidRDefault="005766AA" w:rsidP="005A4B7C">
      <w:pPr>
        <w:spacing w:after="0"/>
      </w:pPr>
      <w:r>
        <w:t xml:space="preserve">After a slower growth period </w:t>
      </w:r>
      <w:r w:rsidR="00583A5D">
        <w:t>during October, we have seen above average growth for November and December for both the Standard and Lower impact</w:t>
      </w:r>
      <w:r w:rsidR="00BC628D">
        <w:t xml:space="preserve"> (LI)</w:t>
      </w:r>
      <w:r w:rsidR="00583A5D">
        <w:t xml:space="preserve"> farmlets. </w:t>
      </w:r>
      <w:r w:rsidR="00BC628D">
        <w:t xml:space="preserve">Weather conditions have enabled us to continue with N fertiliser applications to both farmlets with the LI farmlets having received </w:t>
      </w:r>
      <w:r w:rsidR="003F2947">
        <w:t xml:space="preserve">75% (37.5 kg N) of their annual 50 kg N allowance while the standard farmlets </w:t>
      </w:r>
      <w:r w:rsidR="00DC3659">
        <w:t xml:space="preserve">are finishing their </w:t>
      </w:r>
      <w:r w:rsidR="00CC1CBD">
        <w:t>5</w:t>
      </w:r>
      <w:r w:rsidR="00CC1CBD" w:rsidRPr="00CC1CBD">
        <w:rPr>
          <w:vertAlign w:val="superscript"/>
        </w:rPr>
        <w:t>th</w:t>
      </w:r>
      <w:r w:rsidR="00CC1CBD">
        <w:t xml:space="preserve"> applications</w:t>
      </w:r>
      <w:r w:rsidR="007B7A80">
        <w:t xml:space="preserve"> (105 kg N/ha season to date).</w:t>
      </w:r>
    </w:p>
    <w:p w14:paraId="3FB51183" w14:textId="77777777" w:rsidR="007B7A80" w:rsidRDefault="007B7A80" w:rsidP="005A4B7C">
      <w:pPr>
        <w:spacing w:after="0"/>
      </w:pPr>
    </w:p>
    <w:p w14:paraId="29539C1A" w14:textId="4D6E0ED5" w:rsidR="007B7A80" w:rsidRDefault="007B7A80" w:rsidP="005A4B7C">
      <w:pPr>
        <w:spacing w:after="0"/>
      </w:pPr>
      <w:r>
        <w:t xml:space="preserve">While cumulative growth to date is 6-700 kg DM ahead of the </w:t>
      </w:r>
      <w:r w:rsidR="00CC1D68">
        <w:t>long</w:t>
      </w:r>
      <w:r w:rsidR="00436CF0">
        <w:t>-</w:t>
      </w:r>
      <w:r w:rsidR="00CC1D68">
        <w:t>term average, for both systems we are slightly behind cumulative growth of the 2022-23 season (Table below)</w:t>
      </w:r>
      <w:r w:rsidR="00D44264">
        <w:t>.</w:t>
      </w:r>
    </w:p>
    <w:p w14:paraId="3D260E4D" w14:textId="77777777" w:rsidR="00D44264" w:rsidRDefault="00D44264" w:rsidP="005A4B7C">
      <w:pPr>
        <w:spacing w:after="0"/>
      </w:pPr>
    </w:p>
    <w:p w14:paraId="1B7B9A12" w14:textId="072FB5B2" w:rsidR="00D44264" w:rsidRDefault="00D44264" w:rsidP="005A4B7C">
      <w:pPr>
        <w:spacing w:after="0"/>
      </w:pPr>
      <w:r>
        <w:t>On the pasture quality front, the 5</w:t>
      </w:r>
      <w:r w:rsidRPr="00D44264">
        <w:rPr>
          <w:vertAlign w:val="superscript"/>
        </w:rPr>
        <w:t>th</w:t>
      </w:r>
      <w:r>
        <w:t xml:space="preserve"> round pastures have increased in DM% but are lower in metabolisable energy</w:t>
      </w:r>
      <w:r w:rsidR="002B2A1F">
        <w:t xml:space="preserve">, driven by much lower </w:t>
      </w:r>
      <w:r w:rsidR="002E35C0">
        <w:t>non-structural</w:t>
      </w:r>
      <w:r w:rsidR="002B2A1F">
        <w:t xml:space="preserve"> carbohydrates and soluble sugars. </w:t>
      </w:r>
      <w:r w:rsidR="00436CF0">
        <w:t xml:space="preserve">Crude protein has remained relatively consistent around 21-22%. </w:t>
      </w:r>
      <w:r>
        <w:t xml:space="preserve"> </w:t>
      </w:r>
    </w:p>
    <w:p w14:paraId="597F3E6D" w14:textId="77777777" w:rsidR="00657B60" w:rsidRDefault="00657B60" w:rsidP="00657B60">
      <w:pPr>
        <w:spacing w:after="0"/>
        <w:jc w:val="center"/>
        <w:rPr>
          <w:b/>
          <w:bCs/>
        </w:rPr>
      </w:pPr>
    </w:p>
    <w:p w14:paraId="76539A0A" w14:textId="0D09808F" w:rsidR="00657B60" w:rsidRPr="00EC5A5F" w:rsidRDefault="00657B60" w:rsidP="00657B6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Table 1: Cumulative pasture growth </w:t>
      </w:r>
      <w:r w:rsidR="00E30F28">
        <w:rPr>
          <w:b/>
          <w:bCs/>
        </w:rPr>
        <w:t xml:space="preserve">compared with previous </w:t>
      </w:r>
      <w:r w:rsidR="00A82471">
        <w:rPr>
          <w:b/>
          <w:bCs/>
        </w:rPr>
        <w:t>years.</w:t>
      </w:r>
    </w:p>
    <w:p w14:paraId="71921665" w14:textId="1CDB6BCD" w:rsidR="00701287" w:rsidRPr="00701287" w:rsidRDefault="00226159">
      <w:pPr>
        <w:rPr>
          <w:b/>
          <w:bCs/>
          <w:sz w:val="28"/>
          <w:szCs w:val="28"/>
        </w:rPr>
      </w:pPr>
      <w:r w:rsidRPr="00226159">
        <w:rPr>
          <w:noProof/>
        </w:rPr>
        <w:drawing>
          <wp:inline distT="0" distB="0" distL="0" distR="0" wp14:anchorId="3947310E" wp14:editId="475A2C13">
            <wp:extent cx="8863330" cy="3336925"/>
            <wp:effectExtent l="0" t="0" r="0" b="0"/>
            <wp:docPr id="104716805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27776" w14:textId="42615219" w:rsidR="00470663" w:rsidRDefault="00470663" w:rsidP="00470663">
      <w:pPr>
        <w:jc w:val="center"/>
      </w:pPr>
    </w:p>
    <w:p w14:paraId="2D952C7E" w14:textId="5B0C5949" w:rsidR="00470663" w:rsidRDefault="00470663" w:rsidP="00470663">
      <w:pPr>
        <w:jc w:val="center"/>
      </w:pPr>
    </w:p>
    <w:p w14:paraId="1A663005" w14:textId="060A8E6A" w:rsidR="00470663" w:rsidRDefault="00A42826" w:rsidP="00470663">
      <w:pPr>
        <w:jc w:val="center"/>
      </w:pPr>
      <w:r>
        <w:rPr>
          <w:noProof/>
        </w:rPr>
        <w:drawing>
          <wp:inline distT="0" distB="0" distL="0" distR="0" wp14:anchorId="6A6ED316" wp14:editId="5137A12B">
            <wp:extent cx="4743450" cy="2651916"/>
            <wp:effectExtent l="0" t="0" r="0" b="0"/>
            <wp:docPr id="106102589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26" cy="2683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31A9">
        <w:t xml:space="preserve"> </w:t>
      </w:r>
      <w:r w:rsidR="002E35C0" w:rsidRPr="002E35C0">
        <w:drawing>
          <wp:inline distT="0" distB="0" distL="0" distR="0" wp14:anchorId="5E062CE2" wp14:editId="1DA45CFA">
            <wp:extent cx="4057650" cy="2679670"/>
            <wp:effectExtent l="0" t="0" r="0" b="6985"/>
            <wp:docPr id="2021416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41653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9184" cy="270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75118" w14:textId="4F908A21" w:rsidR="00470663" w:rsidRDefault="00715729" w:rsidP="00470663">
      <w:pPr>
        <w:jc w:val="center"/>
      </w:pPr>
      <w:r>
        <w:t xml:space="preserve">Average monthly pasture growth for the </w:t>
      </w:r>
      <w:r w:rsidR="00DF5A52">
        <w:t>four SDH farmlets and the Woodlands long-term growth rate trial</w:t>
      </w:r>
    </w:p>
    <w:p w14:paraId="56826494" w14:textId="0186D64C" w:rsidR="00350026" w:rsidRDefault="0012507B" w:rsidP="00470663">
      <w:pPr>
        <w:jc w:val="center"/>
      </w:pPr>
      <w:r>
        <w:rPr>
          <w:noProof/>
        </w:rPr>
        <w:drawing>
          <wp:inline distT="0" distB="0" distL="0" distR="0" wp14:anchorId="63B94181" wp14:editId="4BDEC468">
            <wp:extent cx="3755302" cy="2257342"/>
            <wp:effectExtent l="0" t="0" r="0" b="0"/>
            <wp:docPr id="11654553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116" cy="226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11F2">
        <w:t xml:space="preserve"> </w:t>
      </w:r>
      <w:r w:rsidR="001F2B5B">
        <w:rPr>
          <w:noProof/>
        </w:rPr>
        <w:drawing>
          <wp:inline distT="0" distB="0" distL="0" distR="0" wp14:anchorId="6933AC60" wp14:editId="2D43B40E">
            <wp:extent cx="3695700" cy="2266950"/>
            <wp:effectExtent l="0" t="0" r="0" b="0"/>
            <wp:docPr id="28476674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12218A2-DC17-4F61-8BF3-B83361AC2E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1C4C4ED" w14:textId="77777777" w:rsidR="002E35C0" w:rsidRDefault="002E35C0" w:rsidP="00470663">
      <w:pPr>
        <w:jc w:val="center"/>
        <w:rPr>
          <w:b/>
          <w:bCs/>
          <w:sz w:val="28"/>
          <w:szCs w:val="28"/>
        </w:rPr>
      </w:pPr>
    </w:p>
    <w:p w14:paraId="2129B6D3" w14:textId="458F9E9D" w:rsidR="00470663" w:rsidRDefault="00B4290B" w:rsidP="00470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Pasture quality results</w:t>
      </w:r>
    </w:p>
    <w:p w14:paraId="6E1F976F" w14:textId="403249CA" w:rsidR="00EC5A5F" w:rsidRPr="00EC5A5F" w:rsidRDefault="00EC5A5F" w:rsidP="00EC5A5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Table </w:t>
      </w:r>
      <w:r w:rsidR="00E30F28">
        <w:rPr>
          <w:b/>
          <w:bCs/>
        </w:rPr>
        <w:t>2</w:t>
      </w:r>
      <w:r>
        <w:rPr>
          <w:b/>
          <w:bCs/>
        </w:rPr>
        <w:t xml:space="preserve">: Pasture quality from </w:t>
      </w:r>
      <w:r w:rsidR="00CD419C">
        <w:rPr>
          <w:b/>
          <w:bCs/>
        </w:rPr>
        <w:t>standard and lower impact monitor paddocks for each grazing</w:t>
      </w:r>
    </w:p>
    <w:p w14:paraId="59C84159" w14:textId="08BEC730" w:rsidR="00470663" w:rsidRDefault="00167551" w:rsidP="00470663">
      <w:pPr>
        <w:jc w:val="center"/>
      </w:pPr>
      <w:r w:rsidRPr="00167551">
        <w:rPr>
          <w:noProof/>
        </w:rPr>
        <w:drawing>
          <wp:inline distT="0" distB="0" distL="0" distR="0" wp14:anchorId="6ED1D81F" wp14:editId="7926A453">
            <wp:extent cx="8863330" cy="2509520"/>
            <wp:effectExtent l="0" t="0" r="0" b="5080"/>
            <wp:docPr id="79621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788F7" w14:textId="5EED3247" w:rsidR="00EC5A5F" w:rsidRPr="00CD419C" w:rsidRDefault="00CD419C" w:rsidP="00CD419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Table </w:t>
      </w:r>
      <w:r w:rsidR="00E30F28">
        <w:rPr>
          <w:b/>
          <w:bCs/>
        </w:rPr>
        <w:t>3</w:t>
      </w:r>
      <w:r>
        <w:rPr>
          <w:b/>
          <w:bCs/>
        </w:rPr>
        <w:t>: Pasture quality from monitor paddocks with and without plantain for each grazing</w:t>
      </w:r>
    </w:p>
    <w:p w14:paraId="057BB82E" w14:textId="52AEF389" w:rsidR="00167551" w:rsidRDefault="00EC5A5F" w:rsidP="00470663">
      <w:pPr>
        <w:jc w:val="center"/>
      </w:pPr>
      <w:r w:rsidRPr="00EC5A5F">
        <w:rPr>
          <w:noProof/>
        </w:rPr>
        <w:drawing>
          <wp:inline distT="0" distB="0" distL="0" distR="0" wp14:anchorId="5BE8F1D5" wp14:editId="53207BA2">
            <wp:extent cx="8863330" cy="2509520"/>
            <wp:effectExtent l="0" t="0" r="0" b="5080"/>
            <wp:docPr id="11632255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551" w:rsidSect="0047066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63"/>
    <w:rsid w:val="00011771"/>
    <w:rsid w:val="00063BBD"/>
    <w:rsid w:val="00090793"/>
    <w:rsid w:val="000D43F0"/>
    <w:rsid w:val="000F1A77"/>
    <w:rsid w:val="0012507B"/>
    <w:rsid w:val="00167551"/>
    <w:rsid w:val="001C43A0"/>
    <w:rsid w:val="001F2B5B"/>
    <w:rsid w:val="00212D4D"/>
    <w:rsid w:val="00226159"/>
    <w:rsid w:val="00292CBB"/>
    <w:rsid w:val="002B2A1F"/>
    <w:rsid w:val="002E35C0"/>
    <w:rsid w:val="00350026"/>
    <w:rsid w:val="00352C20"/>
    <w:rsid w:val="003A1D46"/>
    <w:rsid w:val="003D1E7E"/>
    <w:rsid w:val="003F2947"/>
    <w:rsid w:val="00412243"/>
    <w:rsid w:val="00436CF0"/>
    <w:rsid w:val="004545AE"/>
    <w:rsid w:val="00470663"/>
    <w:rsid w:val="00496E6D"/>
    <w:rsid w:val="0054094A"/>
    <w:rsid w:val="00544BEE"/>
    <w:rsid w:val="005766AA"/>
    <w:rsid w:val="00583A5D"/>
    <w:rsid w:val="005A4B7C"/>
    <w:rsid w:val="005F4165"/>
    <w:rsid w:val="00606F1E"/>
    <w:rsid w:val="00657B60"/>
    <w:rsid w:val="00701287"/>
    <w:rsid w:val="007038AF"/>
    <w:rsid w:val="00712B28"/>
    <w:rsid w:val="00715729"/>
    <w:rsid w:val="007224D1"/>
    <w:rsid w:val="00775F0C"/>
    <w:rsid w:val="007B1453"/>
    <w:rsid w:val="007B7A80"/>
    <w:rsid w:val="0081427F"/>
    <w:rsid w:val="00867760"/>
    <w:rsid w:val="009331A9"/>
    <w:rsid w:val="009714A8"/>
    <w:rsid w:val="00A42826"/>
    <w:rsid w:val="00A63489"/>
    <w:rsid w:val="00A82471"/>
    <w:rsid w:val="00B4290B"/>
    <w:rsid w:val="00BC628D"/>
    <w:rsid w:val="00C02B02"/>
    <w:rsid w:val="00C411F2"/>
    <w:rsid w:val="00C50139"/>
    <w:rsid w:val="00CC1CBD"/>
    <w:rsid w:val="00CC1D68"/>
    <w:rsid w:val="00CD419C"/>
    <w:rsid w:val="00CD4C76"/>
    <w:rsid w:val="00D27FEC"/>
    <w:rsid w:val="00D44264"/>
    <w:rsid w:val="00DC3659"/>
    <w:rsid w:val="00DF5A52"/>
    <w:rsid w:val="00E04C53"/>
    <w:rsid w:val="00E130E6"/>
    <w:rsid w:val="00E30F28"/>
    <w:rsid w:val="00EC5A5F"/>
    <w:rsid w:val="00EE660E"/>
    <w:rsid w:val="00F00FB2"/>
    <w:rsid w:val="00FA0859"/>
    <w:rsid w:val="00FD7153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5DE0"/>
  <w15:chartTrackingRefBased/>
  <w15:docId w15:val="{9AD5ACE4-61AE-4548-A5F8-A73C7D93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nz.sharepoint.com/sites/DairyShare/Southern%20Dairy%20Hub/SDHfarmdata/Paddock%20data/2023-24%20APC%20Summary%20Fil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'[2023-24 APC Summary File.xlsx]Soil Temperature'!$A$3</c:f>
              <c:strCache>
                <c:ptCount val="1"/>
                <c:pt idx="0">
                  <c:v>2023-24 Soil Temp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'[2023-24 APC Summary File.xlsx]Soil Temperature'!$B$2:$BA$2</c:f>
              <c:numCache>
                <c:formatCode>d\-mmm\-yy</c:formatCode>
                <c:ptCount val="52"/>
                <c:pt idx="0">
                  <c:v>45076</c:v>
                </c:pt>
                <c:pt idx="1">
                  <c:v>45083</c:v>
                </c:pt>
                <c:pt idx="2">
                  <c:v>45090</c:v>
                </c:pt>
                <c:pt idx="3">
                  <c:v>45097</c:v>
                </c:pt>
                <c:pt idx="4">
                  <c:v>45104</c:v>
                </c:pt>
                <c:pt idx="5">
                  <c:v>45111</c:v>
                </c:pt>
                <c:pt idx="6">
                  <c:v>45118</c:v>
                </c:pt>
                <c:pt idx="7">
                  <c:v>45125</c:v>
                </c:pt>
                <c:pt idx="8">
                  <c:v>45132</c:v>
                </c:pt>
                <c:pt idx="9">
                  <c:v>45139</c:v>
                </c:pt>
                <c:pt idx="10">
                  <c:v>45146</c:v>
                </c:pt>
                <c:pt idx="11">
                  <c:v>45153</c:v>
                </c:pt>
                <c:pt idx="12">
                  <c:v>45160</c:v>
                </c:pt>
                <c:pt idx="13">
                  <c:v>45167</c:v>
                </c:pt>
                <c:pt idx="14">
                  <c:v>45174</c:v>
                </c:pt>
                <c:pt idx="15">
                  <c:v>45181</c:v>
                </c:pt>
                <c:pt idx="16">
                  <c:v>45188</c:v>
                </c:pt>
                <c:pt idx="17">
                  <c:v>45195</c:v>
                </c:pt>
                <c:pt idx="18">
                  <c:v>45202</c:v>
                </c:pt>
                <c:pt idx="19">
                  <c:v>45209</c:v>
                </c:pt>
                <c:pt idx="20">
                  <c:v>45216</c:v>
                </c:pt>
                <c:pt idx="21">
                  <c:v>45223</c:v>
                </c:pt>
                <c:pt idx="22">
                  <c:v>45230</c:v>
                </c:pt>
                <c:pt idx="23">
                  <c:v>45237</c:v>
                </c:pt>
                <c:pt idx="24">
                  <c:v>45244</c:v>
                </c:pt>
                <c:pt idx="25">
                  <c:v>45251</c:v>
                </c:pt>
                <c:pt idx="26">
                  <c:v>45258</c:v>
                </c:pt>
                <c:pt idx="27">
                  <c:v>45265</c:v>
                </c:pt>
                <c:pt idx="28">
                  <c:v>45272</c:v>
                </c:pt>
                <c:pt idx="29">
                  <c:v>45279</c:v>
                </c:pt>
                <c:pt idx="30">
                  <c:v>45286</c:v>
                </c:pt>
                <c:pt idx="31">
                  <c:v>45293</c:v>
                </c:pt>
                <c:pt idx="32">
                  <c:v>45300</c:v>
                </c:pt>
                <c:pt idx="33">
                  <c:v>45307</c:v>
                </c:pt>
                <c:pt idx="34">
                  <c:v>45314</c:v>
                </c:pt>
                <c:pt idx="35">
                  <c:v>45321</c:v>
                </c:pt>
                <c:pt idx="36">
                  <c:v>45328</c:v>
                </c:pt>
                <c:pt idx="37">
                  <c:v>45335</c:v>
                </c:pt>
                <c:pt idx="38">
                  <c:v>45342</c:v>
                </c:pt>
                <c:pt idx="39">
                  <c:v>45349</c:v>
                </c:pt>
                <c:pt idx="40">
                  <c:v>45356</c:v>
                </c:pt>
                <c:pt idx="41">
                  <c:v>45363</c:v>
                </c:pt>
                <c:pt idx="42">
                  <c:v>45370</c:v>
                </c:pt>
                <c:pt idx="43">
                  <c:v>45377</c:v>
                </c:pt>
                <c:pt idx="44">
                  <c:v>45384</c:v>
                </c:pt>
                <c:pt idx="45">
                  <c:v>45391</c:v>
                </c:pt>
                <c:pt idx="46">
                  <c:v>45398</c:v>
                </c:pt>
                <c:pt idx="47">
                  <c:v>45405</c:v>
                </c:pt>
                <c:pt idx="48">
                  <c:v>45412</c:v>
                </c:pt>
                <c:pt idx="49">
                  <c:v>45419</c:v>
                </c:pt>
                <c:pt idx="50">
                  <c:v>45426</c:v>
                </c:pt>
                <c:pt idx="51">
                  <c:v>45433</c:v>
                </c:pt>
              </c:numCache>
            </c:numRef>
          </c:cat>
          <c:val>
            <c:numRef>
              <c:f>'[2023-24 APC Summary File.xlsx]Soil Temperature'!$B$3:$BA$3</c:f>
              <c:numCache>
                <c:formatCode>0.0</c:formatCode>
                <c:ptCount val="52"/>
                <c:pt idx="0">
                  <c:v>11</c:v>
                </c:pt>
                <c:pt idx="1">
                  <c:v>7</c:v>
                </c:pt>
                <c:pt idx="2">
                  <c:v>7.2</c:v>
                </c:pt>
                <c:pt idx="3">
                  <c:v>5.9</c:v>
                </c:pt>
                <c:pt idx="4">
                  <c:v>7.3</c:v>
                </c:pt>
                <c:pt idx="5">
                  <c:v>7.4</c:v>
                </c:pt>
                <c:pt idx="6">
                  <c:v>6.2</c:v>
                </c:pt>
                <c:pt idx="7">
                  <c:v>8.1</c:v>
                </c:pt>
                <c:pt idx="8">
                  <c:v>7</c:v>
                </c:pt>
                <c:pt idx="9">
                  <c:v>7.7</c:v>
                </c:pt>
                <c:pt idx="10">
                  <c:v>7.6</c:v>
                </c:pt>
                <c:pt idx="11">
                  <c:v>6.8</c:v>
                </c:pt>
                <c:pt idx="12">
                  <c:v>7.7</c:v>
                </c:pt>
                <c:pt idx="13">
                  <c:v>9</c:v>
                </c:pt>
                <c:pt idx="14">
                  <c:v>10.199999999999999</c:v>
                </c:pt>
                <c:pt idx="15">
                  <c:v>10.7</c:v>
                </c:pt>
                <c:pt idx="16">
                  <c:v>9.9</c:v>
                </c:pt>
                <c:pt idx="17">
                  <c:v>10.9</c:v>
                </c:pt>
                <c:pt idx="18">
                  <c:v>10</c:v>
                </c:pt>
                <c:pt idx="19">
                  <c:v>11.9</c:v>
                </c:pt>
                <c:pt idx="20">
                  <c:v>11.2</c:v>
                </c:pt>
                <c:pt idx="21">
                  <c:v>12.7</c:v>
                </c:pt>
                <c:pt idx="22">
                  <c:v>12.2</c:v>
                </c:pt>
                <c:pt idx="23">
                  <c:v>14.6</c:v>
                </c:pt>
                <c:pt idx="24">
                  <c:v>14.1</c:v>
                </c:pt>
                <c:pt idx="25">
                  <c:v>14.3</c:v>
                </c:pt>
                <c:pt idx="26">
                  <c:v>15.9</c:v>
                </c:pt>
                <c:pt idx="27">
                  <c:v>16</c:v>
                </c:pt>
                <c:pt idx="28">
                  <c:v>15.2</c:v>
                </c:pt>
                <c:pt idx="29">
                  <c:v>17</c:v>
                </c:pt>
                <c:pt idx="30">
                  <c:v>18.399999999999999</c:v>
                </c:pt>
                <c:pt idx="31">
                  <c:v>17.899999999999999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FF7-4057-821A-63C60690B696}"/>
            </c:ext>
          </c:extLst>
        </c:ser>
        <c:ser>
          <c:idx val="1"/>
          <c:order val="1"/>
          <c:tx>
            <c:strRef>
              <c:f>'[2023-24 APC Summary File.xlsx]Soil Temperature'!$A$4</c:f>
              <c:strCache>
                <c:ptCount val="1"/>
                <c:pt idx="0">
                  <c:v>2022-23 Soil Temp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'[2023-24 APC Summary File.xlsx]Soil Temperature'!$B$2:$BA$2</c:f>
              <c:numCache>
                <c:formatCode>d\-mmm\-yy</c:formatCode>
                <c:ptCount val="52"/>
                <c:pt idx="0">
                  <c:v>45076</c:v>
                </c:pt>
                <c:pt idx="1">
                  <c:v>45083</c:v>
                </c:pt>
                <c:pt idx="2">
                  <c:v>45090</c:v>
                </c:pt>
                <c:pt idx="3">
                  <c:v>45097</c:v>
                </c:pt>
                <c:pt idx="4">
                  <c:v>45104</c:v>
                </c:pt>
                <c:pt idx="5">
                  <c:v>45111</c:v>
                </c:pt>
                <c:pt idx="6">
                  <c:v>45118</c:v>
                </c:pt>
                <c:pt idx="7">
                  <c:v>45125</c:v>
                </c:pt>
                <c:pt idx="8">
                  <c:v>45132</c:v>
                </c:pt>
                <c:pt idx="9">
                  <c:v>45139</c:v>
                </c:pt>
                <c:pt idx="10">
                  <c:v>45146</c:v>
                </c:pt>
                <c:pt idx="11">
                  <c:v>45153</c:v>
                </c:pt>
                <c:pt idx="12">
                  <c:v>45160</c:v>
                </c:pt>
                <c:pt idx="13">
                  <c:v>45167</c:v>
                </c:pt>
                <c:pt idx="14">
                  <c:v>45174</c:v>
                </c:pt>
                <c:pt idx="15">
                  <c:v>45181</c:v>
                </c:pt>
                <c:pt idx="16">
                  <c:v>45188</c:v>
                </c:pt>
                <c:pt idx="17">
                  <c:v>45195</c:v>
                </c:pt>
                <c:pt idx="18">
                  <c:v>45202</c:v>
                </c:pt>
                <c:pt idx="19">
                  <c:v>45209</c:v>
                </c:pt>
                <c:pt idx="20">
                  <c:v>45216</c:v>
                </c:pt>
                <c:pt idx="21">
                  <c:v>45223</c:v>
                </c:pt>
                <c:pt idx="22">
                  <c:v>45230</c:v>
                </c:pt>
                <c:pt idx="23">
                  <c:v>45237</c:v>
                </c:pt>
                <c:pt idx="24">
                  <c:v>45244</c:v>
                </c:pt>
                <c:pt idx="25">
                  <c:v>45251</c:v>
                </c:pt>
                <c:pt idx="26">
                  <c:v>45258</c:v>
                </c:pt>
                <c:pt idx="27">
                  <c:v>45265</c:v>
                </c:pt>
                <c:pt idx="28">
                  <c:v>45272</c:v>
                </c:pt>
                <c:pt idx="29">
                  <c:v>45279</c:v>
                </c:pt>
                <c:pt idx="30">
                  <c:v>45286</c:v>
                </c:pt>
                <c:pt idx="31">
                  <c:v>45293</c:v>
                </c:pt>
                <c:pt idx="32">
                  <c:v>45300</c:v>
                </c:pt>
                <c:pt idx="33">
                  <c:v>45307</c:v>
                </c:pt>
                <c:pt idx="34">
                  <c:v>45314</c:v>
                </c:pt>
                <c:pt idx="35">
                  <c:v>45321</c:v>
                </c:pt>
                <c:pt idx="36">
                  <c:v>45328</c:v>
                </c:pt>
                <c:pt idx="37">
                  <c:v>45335</c:v>
                </c:pt>
                <c:pt idx="38">
                  <c:v>45342</c:v>
                </c:pt>
                <c:pt idx="39">
                  <c:v>45349</c:v>
                </c:pt>
                <c:pt idx="40">
                  <c:v>45356</c:v>
                </c:pt>
                <c:pt idx="41">
                  <c:v>45363</c:v>
                </c:pt>
                <c:pt idx="42">
                  <c:v>45370</c:v>
                </c:pt>
                <c:pt idx="43">
                  <c:v>45377</c:v>
                </c:pt>
                <c:pt idx="44">
                  <c:v>45384</c:v>
                </c:pt>
                <c:pt idx="45">
                  <c:v>45391</c:v>
                </c:pt>
                <c:pt idx="46">
                  <c:v>45398</c:v>
                </c:pt>
                <c:pt idx="47">
                  <c:v>45405</c:v>
                </c:pt>
                <c:pt idx="48">
                  <c:v>45412</c:v>
                </c:pt>
                <c:pt idx="49">
                  <c:v>45419</c:v>
                </c:pt>
                <c:pt idx="50">
                  <c:v>45426</c:v>
                </c:pt>
                <c:pt idx="51">
                  <c:v>45433</c:v>
                </c:pt>
              </c:numCache>
            </c:numRef>
          </c:cat>
          <c:val>
            <c:numRef>
              <c:f>'[2023-24 APC Summary File.xlsx]Soil Temperature'!$B$4:$BA$4</c:f>
              <c:numCache>
                <c:formatCode>0.0</c:formatCode>
                <c:ptCount val="52"/>
                <c:pt idx="0">
                  <c:v>10.3</c:v>
                </c:pt>
                <c:pt idx="1">
                  <c:v>8.9</c:v>
                </c:pt>
                <c:pt idx="2">
                  <c:v>6.5</c:v>
                </c:pt>
                <c:pt idx="3">
                  <c:v>6.4</c:v>
                </c:pt>
                <c:pt idx="4">
                  <c:v>5.2</c:v>
                </c:pt>
                <c:pt idx="5">
                  <c:v>6.6</c:v>
                </c:pt>
                <c:pt idx="6">
                  <c:v>7</c:v>
                </c:pt>
                <c:pt idx="7">
                  <c:v>7.2</c:v>
                </c:pt>
                <c:pt idx="8">
                  <c:v>7.2</c:v>
                </c:pt>
                <c:pt idx="9">
                  <c:v>7.3</c:v>
                </c:pt>
                <c:pt idx="10">
                  <c:v>7.8</c:v>
                </c:pt>
                <c:pt idx="11">
                  <c:v>6.4</c:v>
                </c:pt>
                <c:pt idx="12">
                  <c:v>9.5</c:v>
                </c:pt>
                <c:pt idx="13">
                  <c:v>8.6</c:v>
                </c:pt>
                <c:pt idx="14">
                  <c:v>9.6</c:v>
                </c:pt>
                <c:pt idx="15">
                  <c:v>9.1999999999999993</c:v>
                </c:pt>
                <c:pt idx="16">
                  <c:v>10</c:v>
                </c:pt>
                <c:pt idx="17">
                  <c:v>12.2</c:v>
                </c:pt>
                <c:pt idx="18">
                  <c:v>11.4</c:v>
                </c:pt>
                <c:pt idx="19">
                  <c:v>9.8000000000000007</c:v>
                </c:pt>
                <c:pt idx="20">
                  <c:v>12.2</c:v>
                </c:pt>
                <c:pt idx="21">
                  <c:v>11.1</c:v>
                </c:pt>
                <c:pt idx="22">
                  <c:v>13.1</c:v>
                </c:pt>
                <c:pt idx="23">
                  <c:v>13.3</c:v>
                </c:pt>
                <c:pt idx="24">
                  <c:v>16.7</c:v>
                </c:pt>
                <c:pt idx="25">
                  <c:v>18.5</c:v>
                </c:pt>
                <c:pt idx="26">
                  <c:v>16.399999999999999</c:v>
                </c:pt>
                <c:pt idx="27">
                  <c:v>15.4</c:v>
                </c:pt>
                <c:pt idx="28">
                  <c:v>18.600000000000001</c:v>
                </c:pt>
                <c:pt idx="29">
                  <c:v>18.5</c:v>
                </c:pt>
                <c:pt idx="30">
                  <c:v>19</c:v>
                </c:pt>
                <c:pt idx="31">
                  <c:v>19.399999999999999</c:v>
                </c:pt>
                <c:pt idx="32">
                  <c:v>19.8</c:v>
                </c:pt>
                <c:pt idx="33">
                  <c:v>19.3</c:v>
                </c:pt>
                <c:pt idx="34">
                  <c:v>19.100000000000001</c:v>
                </c:pt>
                <c:pt idx="35">
                  <c:v>20.3</c:v>
                </c:pt>
                <c:pt idx="36">
                  <c:v>21.4</c:v>
                </c:pt>
                <c:pt idx="37">
                  <c:v>18.7</c:v>
                </c:pt>
                <c:pt idx="38">
                  <c:v>18.7</c:v>
                </c:pt>
                <c:pt idx="39">
                  <c:v>17</c:v>
                </c:pt>
                <c:pt idx="40">
                  <c:v>17</c:v>
                </c:pt>
                <c:pt idx="41">
                  <c:v>16.899999999999999</c:v>
                </c:pt>
                <c:pt idx="42">
                  <c:v>15.9</c:v>
                </c:pt>
                <c:pt idx="43">
                  <c:v>15</c:v>
                </c:pt>
                <c:pt idx="44">
                  <c:v>14.4</c:v>
                </c:pt>
                <c:pt idx="45">
                  <c:v>13.4</c:v>
                </c:pt>
                <c:pt idx="46">
                  <c:v>14</c:v>
                </c:pt>
                <c:pt idx="47">
                  <c:v>13.5</c:v>
                </c:pt>
                <c:pt idx="48">
                  <c:v>12.3</c:v>
                </c:pt>
                <c:pt idx="49">
                  <c:v>13.2</c:v>
                </c:pt>
                <c:pt idx="50">
                  <c:v>11.4</c:v>
                </c:pt>
                <c:pt idx="51">
                  <c:v>10.9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FF7-4057-821A-63C60690B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9640152"/>
        <c:axId val="1129643432"/>
      </c:lineChart>
      <c:dateAx>
        <c:axId val="1129640152"/>
        <c:scaling>
          <c:orientation val="minMax"/>
        </c:scaling>
        <c:delete val="0"/>
        <c:axPos val="b"/>
        <c:numFmt formatCode="d\-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9643432"/>
        <c:crosses val="autoZero"/>
        <c:auto val="1"/>
        <c:lblOffset val="100"/>
        <c:baseTimeUnit val="days"/>
      </c:dateAx>
      <c:valAx>
        <c:axId val="1129643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Soil Temperature (C)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9640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6b52a-b79f-4e31-b3eb-7af680820f93">
      <Terms xmlns="http://schemas.microsoft.com/office/infopath/2007/PartnerControls"/>
    </lcf76f155ced4ddcb4097134ff3c332f>
    <TaxCatchAll xmlns="e79a7d12-fea5-4a47-925c-5505f75b9f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CA0D92CEBD64C914B4DEB04C1D35F" ma:contentTypeVersion="16" ma:contentTypeDescription="Create a new document." ma:contentTypeScope="" ma:versionID="35f6bcc42739168327e4787a1359c108">
  <xsd:schema xmlns:xsd="http://www.w3.org/2001/XMLSchema" xmlns:xs="http://www.w3.org/2001/XMLSchema" xmlns:p="http://schemas.microsoft.com/office/2006/metadata/properties" xmlns:ns2="9416b52a-b79f-4e31-b3eb-7af680820f93" xmlns:ns3="e79a7d12-fea5-4a47-925c-5505f75b9f3b" targetNamespace="http://schemas.microsoft.com/office/2006/metadata/properties" ma:root="true" ma:fieldsID="a5acf07d5fc78ffe39478c1ef8b9b5dd" ns2:_="" ns3:_="">
    <xsd:import namespace="9416b52a-b79f-4e31-b3eb-7af680820f93"/>
    <xsd:import namespace="e79a7d12-fea5-4a47-925c-5505f75b9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6b52a-b79f-4e31-b3eb-7af680820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901dcd-99d9-47d9-9868-9bfe0073b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a7d12-fea5-4a47-925c-5505f75b9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f8db5d-9981-42fe-a32c-c2c6e3c91dd4}" ma:internalName="TaxCatchAll" ma:showField="CatchAllData" ma:web="e79a7d12-fea5-4a47-925c-5505f75b9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632F7-102F-4FB2-A97F-41DB7E5ECED8}">
  <ds:schemaRefs>
    <ds:schemaRef ds:uri="http://schemas.microsoft.com/office/2006/metadata/properties"/>
    <ds:schemaRef ds:uri="http://schemas.microsoft.com/office/infopath/2007/PartnerControls"/>
    <ds:schemaRef ds:uri="9416b52a-b79f-4e31-b3eb-7af680820f93"/>
    <ds:schemaRef ds:uri="e79a7d12-fea5-4a47-925c-5505f75b9f3b"/>
  </ds:schemaRefs>
</ds:datastoreItem>
</file>

<file path=customXml/itemProps2.xml><?xml version="1.0" encoding="utf-8"?>
<ds:datastoreItem xmlns:ds="http://schemas.openxmlformats.org/officeDocument/2006/customXml" ds:itemID="{C697515C-F7BD-4D11-B316-2A70C4A32E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84C01-C971-452C-84A3-6B0E47B5A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6b52a-b79f-4e31-b3eb-7af680820f93"/>
    <ds:schemaRef ds:uri="e79a7d12-fea5-4a47-925c-5505f75b9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2024-01-12T04:01:00Z</dcterms:created>
  <dcterms:modified xsi:type="dcterms:W3CDTF">2024-01-12T04:01:00Z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0x0101006CBCA0D92CEBD64C914B4DEB04C1D35F</vt:lpwstr>
  </property>
  <property fmtid="{D5CDD505-2E9C-101B-9397-08002B2CF9AE}" pid="3" name="MediaServiceImageTags">
    <vt:lpwstr/>
  </property>
</Properties>
</file>